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797"/>
        <w:gridCol w:w="1980"/>
        <w:gridCol w:w="4576"/>
        <w:gridCol w:w="1625"/>
      </w:tblGrid>
      <w:tr>
        <w:trPr>
          <w:tblHeader w:val="true"/>
          <w:cantSplit w:val="false"/>
        </w:trPr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4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Default"/>
              <w:jc w:val="left"/>
              <w:rPr/>
            </w:pPr>
            <w:r>
              <w:rPr/>
              <w:t>Student Events Calendar 2018-2019</w:t>
            </w:r>
          </w:p>
          <w:p>
            <w:pPr>
              <w:pStyle w:val="Default"/>
              <w:jc w:val="left"/>
              <w:rPr/>
            </w:pPr>
            <w:r>
              <w:rPr/>
              <w:t xml:space="preserve">Bluebonnet Music Teachers Association  </w:t>
            </w: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  <w:t>Date 2018-2019</w:t>
            </w:r>
          </w:p>
        </w:tc>
        <w:tc>
          <w:tcPr>
            <w:tcW w:w="1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  <w:t>Registration Deadlines</w:t>
            </w:r>
          </w:p>
        </w:tc>
        <w:tc>
          <w:tcPr>
            <w:tcW w:w="4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Default"/>
              <w:jc w:val="left"/>
              <w:rPr>
                <w:rFonts w:ascii="Arial" w:hAnsi="Arial"/>
                <w:b/>
                <w:i w:val="false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color w:val="000000"/>
                <w:sz w:val="24"/>
                <w:szCs w:val="24"/>
              </w:rPr>
              <w:t>Event</w:t>
            </w:r>
          </w:p>
          <w:p>
            <w:pPr>
              <w:pStyle w:val="Default"/>
              <w:jc w:val="left"/>
              <w:rPr>
                <w:rFonts w:ascii="Arial" w:hAnsi="Arial"/>
                <w:b w:val="false"/>
                <w:bCs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olor w:val="000000"/>
                <w:sz w:val="20"/>
                <w:szCs w:val="20"/>
              </w:rPr>
              <w:t>Teachers should check master calendar on line for all events and deadlines.  Times and locations are subject to change.</w:t>
            </w:r>
          </w:p>
        </w:tc>
        <w:tc>
          <w:tcPr>
            <w:tcW w:w="16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  <w:t>Hours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Sat Nov. 10, 2018</w:t>
            </w:r>
          </w:p>
        </w:tc>
        <w:tc>
          <w:tcPr>
            <w:tcW w:w="1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Wed Oct 10</w:t>
            </w:r>
          </w:p>
        </w:tc>
        <w:tc>
          <w:tcPr>
            <w:tcW w:w="4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Theory Test</w:t>
            </w:r>
          </w:p>
          <w:p>
            <w:pPr>
              <w:pStyle w:val="TableContents"/>
              <w:rPr/>
            </w:pPr>
            <w:r>
              <w:rPr/>
              <w:t>Texas State University in Round Rock</w:t>
            </w:r>
          </w:p>
        </w:tc>
        <w:tc>
          <w:tcPr>
            <w:tcW w:w="16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8:00-2:00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Sat Nov 3, 2018</w:t>
            </w:r>
          </w:p>
        </w:tc>
        <w:tc>
          <w:tcPr>
            <w:tcW w:w="1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Wed  Oct 3</w:t>
            </w:r>
          </w:p>
        </w:tc>
        <w:tc>
          <w:tcPr>
            <w:tcW w:w="4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Baroque/Classical Festival</w:t>
            </w:r>
          </w:p>
          <w:p>
            <w:pPr>
              <w:pStyle w:val="TableContents"/>
              <w:rPr/>
            </w:pPr>
            <w:r>
              <w:rPr/>
              <w:t>Steinway Piano Gallery, Austin</w:t>
            </w:r>
          </w:p>
        </w:tc>
        <w:tc>
          <w:tcPr>
            <w:tcW w:w="16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10:00-6:00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Sat  Dec 1, 2018</w:t>
            </w:r>
          </w:p>
        </w:tc>
        <w:tc>
          <w:tcPr>
            <w:tcW w:w="1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Sat Nov 17</w:t>
            </w:r>
          </w:p>
        </w:tc>
        <w:tc>
          <w:tcPr>
            <w:tcW w:w="4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Honors Recital</w:t>
            </w:r>
          </w:p>
          <w:p>
            <w:pPr>
              <w:pStyle w:val="TableContents"/>
              <w:rPr/>
            </w:pPr>
            <w:r>
              <w:rPr/>
              <w:t>Steinway Piano Gallery, Austin</w:t>
            </w:r>
          </w:p>
        </w:tc>
        <w:tc>
          <w:tcPr>
            <w:tcW w:w="16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4:00-6:00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Saturday Feb 2</w:t>
            </w:r>
          </w:p>
        </w:tc>
        <w:tc>
          <w:tcPr>
            <w:tcW w:w="1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Wed Jan 2</w:t>
            </w:r>
          </w:p>
        </w:tc>
        <w:tc>
          <w:tcPr>
            <w:tcW w:w="4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Theory Test</w:t>
            </w:r>
          </w:p>
          <w:p>
            <w:pPr>
              <w:pStyle w:val="TableContents"/>
              <w:rPr/>
            </w:pPr>
            <w:r>
              <w:rPr/>
              <w:t>Texas State University in Round Rock</w:t>
            </w:r>
          </w:p>
        </w:tc>
        <w:tc>
          <w:tcPr>
            <w:tcW w:w="16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8:00-2:00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March 16–20, 2019</w:t>
            </w:r>
          </w:p>
        </w:tc>
        <w:tc>
          <w:tcPr>
            <w:tcW w:w="1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4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2019 MTNA National Conference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Spokane Convention Center</w:t>
              <w:br/>
              <w:t>Spokane, Washington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left"/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</w:pPr>
            <w:hyperlink r:id="rId2">
              <w:r>
                <w:rPr>
                  <w:rStyle w:val="InternetLink"/>
                  <w:rFonts w:cs="Arial" w:ascii="Arial" w:hAnsi="Arial"/>
                  <w:b w:val="false"/>
                  <w:bCs w:val="false"/>
                  <w:color w:val="000000"/>
                  <w:sz w:val="20"/>
                  <w:szCs w:val="20"/>
                </w:rPr>
                <w:t>http://www.mtna.org/</w:t>
              </w:r>
            </w:hyperlink>
            <w:r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Saturday </w:t>
            </w:r>
          </w:p>
          <w:p>
            <w:pPr>
              <w:pStyle w:val="TableContents"/>
              <w:rPr/>
            </w:pPr>
            <w:r>
              <w:rPr/>
              <w:t>April 6, 2019</w:t>
            </w:r>
          </w:p>
        </w:tc>
        <w:tc>
          <w:tcPr>
            <w:tcW w:w="1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Wed Mar 6, 2019</w:t>
            </w:r>
          </w:p>
        </w:tc>
        <w:tc>
          <w:tcPr>
            <w:tcW w:w="4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Romantic/Contemporary Festival</w:t>
            </w:r>
          </w:p>
          <w:p>
            <w:pPr>
              <w:pStyle w:val="TableContents"/>
              <w:rPr/>
            </w:pPr>
            <w:r>
              <w:rPr/>
              <w:t>Steinway Piano Gallery, Austin</w:t>
            </w:r>
          </w:p>
        </w:tc>
        <w:tc>
          <w:tcPr>
            <w:tcW w:w="16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10:00-6:00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Sat June 1, 2019</w:t>
            </w:r>
          </w:p>
        </w:tc>
        <w:tc>
          <w:tcPr>
            <w:tcW w:w="1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Sat May 18, 2019</w:t>
            </w:r>
          </w:p>
        </w:tc>
        <w:tc>
          <w:tcPr>
            <w:tcW w:w="4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Honors Recitals 1 and 2</w:t>
            </w:r>
          </w:p>
          <w:p>
            <w:pPr>
              <w:pStyle w:val="TableContents"/>
              <w:rPr/>
            </w:pPr>
            <w:r>
              <w:rPr/>
              <w:t>Steinway Piano Gallery, Austin</w:t>
            </w:r>
          </w:p>
        </w:tc>
        <w:tc>
          <w:tcPr>
            <w:tcW w:w="16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3:00 and 5:00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Sat June 1, 2019</w:t>
            </w:r>
          </w:p>
        </w:tc>
        <w:tc>
          <w:tcPr>
            <w:tcW w:w="1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Ensemble Presentation</w:t>
            </w:r>
          </w:p>
          <w:p>
            <w:pPr>
              <w:pStyle w:val="TableContents"/>
              <w:rPr/>
            </w:pPr>
            <w:r>
              <w:rPr/>
              <w:t>Steinway Piano Gallery, Austin</w:t>
            </w:r>
          </w:p>
        </w:tc>
        <w:tc>
          <w:tcPr>
            <w:tcW w:w="16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4:00-5:00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40"/>
              <w:jc w:val="center"/>
              <w:rPr>
                <w:i/>
              </w:rPr>
            </w:pPr>
            <w:r>
              <w:rPr>
                <w:i/>
              </w:rPr>
              <w:t xml:space="preserve">June 20-23, 2019 </w:t>
            </w:r>
          </w:p>
        </w:tc>
        <w:tc>
          <w:tcPr>
            <w:tcW w:w="1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40"/>
              <w:jc w:val="left"/>
              <w:rPr/>
            </w:pPr>
            <w:r>
              <w:rPr>
                <w:i/>
              </w:rPr>
              <w:t> </w:t>
            </w:r>
            <w:r>
              <w:rPr>
                <w:i/>
              </w:rPr>
              <w:t xml:space="preserve">Houston Hyatt Regency </w:t>
            </w:r>
            <w:hyperlink r:id="rId3">
              <w:r>
                <w:rPr>
                  <w:rStyle w:val="InternetLink"/>
                </w:rPr>
                <w:t>https://www.tmta.org/</w:t>
              </w:r>
            </w:hyperlink>
            <w:r>
              <w:rPr/>
              <w:t xml:space="preserve"> </w:t>
            </w:r>
          </w:p>
        </w:tc>
        <w:tc>
          <w:tcPr>
            <w:tcW w:w="16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  <w:t>Revised Sept 1, 2018</w:t>
      </w:r>
    </w:p>
    <w:p>
      <w:pPr>
        <w:pStyle w:val="Normal"/>
        <w:rPr/>
      </w:pPr>
      <w:r>
        <w:rPr/>
        <w:t>Links:</w:t>
      </w:r>
    </w:p>
    <w:p>
      <w:pPr>
        <w:pStyle w:val="Normal"/>
        <w:rPr/>
      </w:pPr>
      <w:r>
        <w:rPr>
          <w:rStyle w:val="InternetLink"/>
          <w:u w:val="none"/>
        </w:rPr>
        <w:t xml:space="preserve">Music Teachers National Association - </w:t>
      </w:r>
      <w:hyperlink r:id="rId4">
        <w:bookmarkStart w:id="0" w:name="__DdeLink__322_619479410"/>
        <w:r>
          <w:rPr>
            <w:rStyle w:val="InternetLink"/>
          </w:rPr>
          <w:t>http://www.mtna.org/</w:t>
        </w:r>
      </w:hyperlink>
      <w:bookmarkEnd w:id="0"/>
      <w:r>
        <w:rPr/>
        <w:t xml:space="preserve"> </w:t>
      </w:r>
    </w:p>
    <w:p>
      <w:pPr>
        <w:pStyle w:val="Normal"/>
        <w:rPr/>
      </w:pPr>
      <w:r>
        <w:rPr>
          <w:rStyle w:val="InternetLink"/>
          <w:u w:val="none"/>
        </w:rPr>
        <w:t xml:space="preserve">Texas Music Teachers Association -  </w:t>
      </w:r>
      <w:hyperlink r:id="rId5">
        <w:r>
          <w:rPr>
            <w:rStyle w:val="InternetLink"/>
          </w:rPr>
          <w:t>http://www.tmta.org/</w:t>
        </w:r>
      </w:hyperlink>
      <w:r>
        <w:rPr/>
        <w:t xml:space="preserve"> </w:t>
      </w:r>
    </w:p>
    <w:p>
      <w:pPr>
        <w:pStyle w:val="Normal"/>
        <w:rPr/>
      </w:pPr>
      <w:r>
        <w:rPr>
          <w:rStyle w:val="InternetLink"/>
          <w:u w:val="none"/>
        </w:rPr>
        <w:t xml:space="preserve">Bluebonnet Music Teachers Association -  </w:t>
      </w:r>
      <w:hyperlink r:id="rId6">
        <w:r>
          <w:rPr>
            <w:rStyle w:val="InternetLink"/>
          </w:rPr>
          <w:t>http://bluebonnetmta.org/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Texas State University in Round Rock - </w:t>
      </w:r>
      <w:hyperlink r:id="rId7">
        <w:r>
          <w:rPr>
            <w:rStyle w:val="InternetLink"/>
          </w:rPr>
          <w:t>http://www.rrc.txstate.edu/about/sites.html</w:t>
        </w:r>
      </w:hyperlink>
      <w:r>
        <w:rPr/>
        <w:t xml:space="preserve"> </w:t>
      </w:r>
    </w:p>
    <w:p>
      <w:pPr>
        <w:pStyle w:val="Normal"/>
        <w:rPr>
          <w:rStyle w:val="InternetLink"/>
        </w:rPr>
      </w:pPr>
      <w:r>
        <w:rPr/>
        <w:t xml:space="preserve">Steinway Piano Gallery - </w:t>
      </w:r>
      <w:r>
        <w:fldChar w:fldCharType="begin"/>
      </w:r>
      <w:r>
        <w:instrText> HYPERLINK "http://www.steinwayofaustin.com/about" \l "168"</w:instrText>
      </w:r>
      <w:r>
        <w:fldChar w:fldCharType="separate"/>
      </w:r>
      <w:r>
        <w:rPr>
          <w:rStyle w:val="InternetLink"/>
        </w:rPr>
        <w:t>http://www.steinwayofaustin.com/about#168</w:t>
      </w:r>
      <w:r>
        <w:fldChar w:fldCharType="end"/>
      </w:r>
      <w:hyperlink r:id="rId8">
        <w:r>
          <w:rPr>
            <w:rStyle w:val="InternetLink"/>
          </w:rPr>
          <w:t xml:space="preserve"> </w:t>
        </w:r>
      </w:hyperlink>
    </w:p>
    <w:p>
      <w:pPr>
        <w:pStyle w:val="Normal"/>
        <w:rPr/>
      </w:pPr>
      <w:r>
        <w:rPr/>
      </w:r>
    </w:p>
    <w:sectPr>
      <w:headerReference w:type="default" r:id="rId9"/>
      <w:type w:val="nextPage"/>
      <w:pgSz w:w="12240" w:h="15840"/>
      <w:pgMar w:left="1134" w:right="1134" w:header="1134" w:top="1969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b/>
        <w:bCs/>
      </w:rPr>
    </w:pPr>
    <w:r>
      <w:rPr>
        <w:b/>
        <w:bCs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Default">
    <w:name w:val="Default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zh-CN" w:bidi="hi-IN"/>
    </w:rPr>
  </w:style>
  <w:style w:type="paragraph" w:styleId="Objectwitharrow">
    <w:name w:val="Object with arrow"/>
    <w:basedOn w:val="Default"/>
    <w:pPr/>
    <w:rPr/>
  </w:style>
  <w:style w:type="paragraph" w:styleId="Objectwithshadow">
    <w:name w:val="Object with shadow"/>
    <w:basedOn w:val="Default"/>
    <w:pPr/>
    <w:rPr/>
  </w:style>
  <w:style w:type="paragraph" w:styleId="Objectwithoutfill">
    <w:name w:val="Object without fill"/>
    <w:basedOn w:val="Default"/>
    <w:pPr/>
    <w:rPr/>
  </w:style>
  <w:style w:type="paragraph" w:styleId="Objectwithnofillandnoline">
    <w:name w:val="Object with no fill and no line"/>
    <w:basedOn w:val="Default"/>
    <w:pPr/>
    <w:rPr/>
  </w:style>
  <w:style w:type="paragraph" w:styleId="Textbodyjustified">
    <w:name w:val="Text body justified"/>
    <w:basedOn w:val="Default"/>
    <w:pPr>
      <w:jc w:val="left"/>
    </w:pPr>
    <w:rPr/>
  </w:style>
  <w:style w:type="paragraph" w:styleId="Title1">
    <w:name w:val="Title1"/>
    <w:basedOn w:val="Default"/>
    <w:pPr>
      <w:jc w:val="center"/>
    </w:pPr>
    <w:rPr>
      <w:sz w:val="48"/>
    </w:rPr>
  </w:style>
  <w:style w:type="paragraph" w:styleId="Title2">
    <w:name w:val="Title2"/>
    <w:basedOn w:val="Default"/>
    <w:pPr>
      <w:spacing w:before="57" w:after="57"/>
      <w:ind w:left="0" w:right="113" w:hanging="0"/>
      <w:jc w:val="center"/>
    </w:pPr>
    <w:rPr>
      <w:sz w:val="72"/>
    </w:rPr>
  </w:style>
  <w:style w:type="paragraph" w:styleId="DimensionLine">
    <w:name w:val="Dimension Line"/>
    <w:basedOn w:val="Default"/>
    <w:pPr/>
    <w:rPr>
      <w:sz w:val="24"/>
    </w:rPr>
  </w:style>
  <w:style w:type="paragraph" w:styleId="Masterpage3LTGliederung1">
    <w:name w:val="master-page3~LT~Gliederung 1"/>
    <w:pPr>
      <w:widowControl/>
      <w:suppressAutoHyphens w:val="true"/>
      <w:overflowPunct w:val="tru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en-US" w:eastAsia="zh-CN" w:bidi="hi-IN"/>
    </w:rPr>
  </w:style>
  <w:style w:type="paragraph" w:styleId="Masterpage3LTGliederung2">
    <w:name w:val="master-page3~LT~Gliederung 2"/>
    <w:basedOn w:val="Masterpage3LTGliederung1"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Titel">
    <w:name w:val="master-page3~LT~Titel"/>
    <w:pPr>
      <w:widowControl/>
      <w:suppressAutoHyphens w:val="true"/>
      <w:overflowPunct w:val="true"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en-US" w:eastAsia="zh-CN" w:bidi="hi-IN"/>
    </w:rPr>
  </w:style>
  <w:style w:type="paragraph" w:styleId="Masterpage3LTUntertitel">
    <w:name w:val="master-page3~LT~Untertitel"/>
    <w:pPr>
      <w:widowControl/>
      <w:suppressAutoHyphens w:val="true"/>
      <w:overflowPunct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hi-IN"/>
    </w:rPr>
  </w:style>
  <w:style w:type="paragraph" w:styleId="Masterpage3LTNotizen">
    <w:name w:val="master-page3~LT~Notizen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Masterpage3LTHintergrundobjekte">
    <w:name w:val="master-page3~LT~Hintergrundobjekte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zh-CN" w:bidi="hi-IN"/>
    </w:rPr>
  </w:style>
  <w:style w:type="paragraph" w:styleId="Masterpage3LTHintergrund">
    <w:name w:val="master-page3~LT~Hintergrund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zh-CN" w:bidi="hi-IN"/>
    </w:rPr>
  </w:style>
  <w:style w:type="paragraph" w:styleId="Default1">
    <w:name w:val="default"/>
    <w:pPr>
      <w:widowControl/>
      <w:suppressAutoHyphens w:val="true"/>
      <w:overflowPunct w:val="true"/>
      <w:bidi w:val="0"/>
      <w:spacing w:before="0" w:after="0"/>
      <w:ind w:left="0" w:right="0" w:hanging="0"/>
      <w:jc w:val="left"/>
    </w:pPr>
    <w:rPr>
      <w:rFonts w:ascii="FreeSans" w:hAnsi="FreeSans" w:eastAsia="DejaVu Sans" w:cs="Liberation Sans"/>
      <w:color w:val="000000"/>
      <w:sz w:val="36"/>
      <w:szCs w:val="24"/>
      <w:lang w:val="en-US" w:eastAsia="zh-CN" w:bidi="hi-IN"/>
    </w:rPr>
  </w:style>
  <w:style w:type="paragraph" w:styleId="Gray1">
    <w:name w:val="gray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zh-CN" w:bidi="hi-IN"/>
    </w:rPr>
  </w:style>
  <w:style w:type="paragraph" w:styleId="Background">
    <w:name w:val="Background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en-US" w:eastAsia="zh-CN" w:bidi="hi-IN"/>
    </w:rPr>
  </w:style>
  <w:style w:type="paragraph" w:styleId="Notes">
    <w:name w:val="Notes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pPr>
      <w:widowControl/>
      <w:suppressAutoHyphens w:val="true"/>
      <w:overflowPunct w:val="tru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Outline3">
    <w:name w:val="Outline 3"/>
    <w:basedOn w:val="Outline2"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utline4">
    <w:name w:val="Outline 4"/>
    <w:basedOn w:val="Outline3"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5">
    <w:name w:val="Outline 5"/>
    <w:basedOn w:val="Outline4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6">
    <w:name w:val="Outline 6"/>
    <w:basedOn w:val="Outline5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7">
    <w:name w:val="Outline 7"/>
    <w:basedOn w:val="Outline6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8">
    <w:name w:val="Outline 8"/>
    <w:basedOn w:val="Outline7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9">
    <w:name w:val="Outline 9"/>
    <w:basedOn w:val="Outline8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tna.org/" TargetMode="External"/><Relationship Id="rId3" Type="http://schemas.openxmlformats.org/officeDocument/2006/relationships/hyperlink" Target="https://www.tmta.org/" TargetMode="External"/><Relationship Id="rId4" Type="http://schemas.openxmlformats.org/officeDocument/2006/relationships/hyperlink" Target="http://www.mtna.org/" TargetMode="External"/><Relationship Id="rId5" Type="http://schemas.openxmlformats.org/officeDocument/2006/relationships/hyperlink" Target="http://www.tmta.org/" TargetMode="External"/><Relationship Id="rId6" Type="http://schemas.openxmlformats.org/officeDocument/2006/relationships/hyperlink" Target="http://bluebonnetmta.org/" TargetMode="External"/><Relationship Id="rId7" Type="http://schemas.openxmlformats.org/officeDocument/2006/relationships/hyperlink" Target="http://www.rrc.txstate.edu/about/sites.html" TargetMode="External"/><Relationship Id="rId8" Type="http://schemas.openxmlformats.org/officeDocument/2006/relationships/hyperlink" Target="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2757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2016-06-11T12:00:53Z</dcterms:created>
  <dc:creator>lillian </dc:creator>
  <dc:language>en-US</dc:language>
  <cp:lastModifiedBy>lillian </cp:lastModifiedBy>
  <dcterms:modified xsi:type="dcterms:W3CDTF">2016-07-07T14:24:04Z</dcterms:modified>
  <cp:revision>11</cp:revision>
</cp:coreProperties>
</file>